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Player’s Charter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Individual players own their own development. 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Training start time: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Ensure you are ready to go for the start of training, arriving approximately 15 mins before the start time.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Don’t train don’t expect to start: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During selection, priority will be given to players who attend training regularly. (For exceptions see point 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Missing two consecutive training sessions: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If you miss two training sessions in a row, you may be asked to play your next match for a lower team than you would usually play for. (For exceptions see point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Selection: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Coaches and captains are responsible for selection. Selection discussions and requests for feedback will go through your captains/coaches with input from the club’s Playing committee where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Availability: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It is preferred that you give your availability for the whole Saturday at least one month in advance.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Can’t make training?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You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must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notify your captain if you are unable to make training giving as much notice as possible.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New players: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New players should go into the squad session just below the team the club expects them to end up playing for (unless discussed and approved otherwise).  There will be discussions/approvals between the coaches and playing committee as to where the new player will start.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Punctuality: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You are expected to be punctual and make the meet times for games (unless proper, prior notice is given and alternative arrangements made with your captain).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Captaincy: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Captains and vice-captains will be elected each year once the season starts.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Playing kit: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You are expected to play games in the proper club kit which is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515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Exeter Hockey home shirt (it is also recommended that you have an away club shirt)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515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Exeter Hockey short/skort (If not, then a plain navy short/skort)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515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Exeter Hockey socks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Post match teas: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Players are encouraged to join their teams for post-match teas out of courtesy to the opposition and your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Disciplinary: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Repetitive cards may result in a player being omitted from selection or playing for a lower team.  Note – 4 yellow cards will result in a ban from the league going forward.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51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5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7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1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3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7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